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F2F1" w14:textId="77777777" w:rsidR="002D4844" w:rsidRDefault="002D4844" w:rsidP="002D4844">
      <w:pPr>
        <w:pStyle w:val="NoSpacing"/>
        <w:spacing w:line="276" w:lineRule="auto"/>
        <w:jc w:val="both"/>
        <w:rPr>
          <w:rFonts w:ascii="Arial" w:eastAsia="Calibri" w:hAnsi="Arial" w:cs="Arial"/>
          <w:b/>
          <w:sz w:val="32"/>
        </w:rPr>
      </w:pPr>
      <w:proofErr w:type="spellStart"/>
      <w:r w:rsidRPr="00A54964">
        <w:rPr>
          <w:rFonts w:ascii="Arial" w:eastAsia="Calibri" w:hAnsi="Arial" w:cs="Arial"/>
          <w:b/>
          <w:sz w:val="32"/>
        </w:rPr>
        <w:t>Cwestiynau’r</w:t>
      </w:r>
      <w:proofErr w:type="spellEnd"/>
      <w:r w:rsidRPr="00A54964">
        <w:rPr>
          <w:rFonts w:ascii="Arial" w:eastAsia="Calibri" w:hAnsi="Arial" w:cs="Arial"/>
          <w:b/>
          <w:sz w:val="32"/>
        </w:rPr>
        <w:t xml:space="preserve"> </w:t>
      </w:r>
      <w:proofErr w:type="spellStart"/>
      <w:r w:rsidRPr="00A54964">
        <w:rPr>
          <w:rFonts w:ascii="Arial" w:eastAsia="Calibri" w:hAnsi="Arial" w:cs="Arial"/>
          <w:b/>
          <w:sz w:val="32"/>
        </w:rPr>
        <w:t>Ymgynghoriad</w:t>
      </w:r>
      <w:proofErr w:type="spellEnd"/>
      <w:r w:rsidRPr="00A54964">
        <w:rPr>
          <w:rFonts w:ascii="Arial" w:eastAsia="Calibri" w:hAnsi="Arial" w:cs="Arial"/>
          <w:b/>
          <w:sz w:val="32"/>
        </w:rPr>
        <w:t xml:space="preserve"> </w:t>
      </w:r>
    </w:p>
    <w:p w14:paraId="5CF4ED74" w14:textId="77777777" w:rsidR="002D4844" w:rsidRDefault="002D4844" w:rsidP="002D4844">
      <w:pPr>
        <w:pStyle w:val="NoSpacing"/>
        <w:spacing w:line="276" w:lineRule="auto"/>
        <w:jc w:val="both"/>
        <w:rPr>
          <w:rFonts w:ascii="Arial" w:eastAsia="Calibri" w:hAnsi="Arial" w:cs="Arial"/>
          <w:b/>
          <w:sz w:val="32"/>
        </w:rPr>
      </w:pPr>
    </w:p>
    <w:p w14:paraId="3B46562E" w14:textId="77777777" w:rsidR="002D4844" w:rsidRDefault="002D4844" w:rsidP="002D4844">
      <w:pPr>
        <w:shd w:val="clear" w:color="auto" w:fill="FFFFFF"/>
        <w:spacing w:after="375"/>
        <w:outlineLvl w:val="2"/>
        <w:rPr>
          <w:rFonts w:ascii="Arial" w:hAnsi="Arial" w:cs="Arial"/>
          <w:b/>
          <w:color w:val="555555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Enw</w:t>
      </w:r>
      <w:proofErr w:type="spellEnd"/>
      <w:r>
        <w:rPr>
          <w:rFonts w:ascii="Arial" w:hAnsi="Arial" w:cs="Arial"/>
          <w:b/>
          <w:color w:val="555555"/>
          <w:shd w:val="clear" w:color="auto" w:fill="FFFFFF"/>
        </w:rPr>
        <w:t>:</w:t>
      </w:r>
    </w:p>
    <w:p w14:paraId="1464F0CA" w14:textId="77777777" w:rsidR="002D4844" w:rsidRPr="000B5944" w:rsidRDefault="002D4844" w:rsidP="002D4844">
      <w:pPr>
        <w:shd w:val="clear" w:color="auto" w:fill="FFFFFF"/>
        <w:spacing w:after="375"/>
        <w:outlineLvl w:val="2"/>
        <w:rPr>
          <w:rFonts w:ascii="Arial" w:hAnsi="Arial" w:cs="Arial"/>
          <w:b/>
          <w:color w:val="555555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Sefydliad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(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os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yn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berthnasol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>)</w:t>
      </w:r>
    </w:p>
    <w:p w14:paraId="7F763332" w14:textId="77777777" w:rsidR="002D4844" w:rsidRDefault="002D4844" w:rsidP="002D4844">
      <w:pPr>
        <w:spacing w:after="300" w:line="360" w:lineRule="atLeast"/>
        <w:rPr>
          <w:rFonts w:ascii="Arial" w:hAnsi="Arial" w:cs="Arial"/>
          <w:b/>
          <w:color w:val="555555"/>
          <w:shd w:val="clear" w:color="auto" w:fill="FFFFFF"/>
        </w:rPr>
      </w:pP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Cyfeiriad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e-</w:t>
      </w:r>
      <w:proofErr w:type="spellStart"/>
      <w:r w:rsidRPr="00940487">
        <w:rPr>
          <w:rFonts w:ascii="Arial" w:hAnsi="Arial" w:cs="Arial"/>
          <w:b/>
          <w:color w:val="555555"/>
          <w:shd w:val="clear" w:color="auto" w:fill="FFFFFF"/>
        </w:rPr>
        <w:t>bost</w:t>
      </w:r>
      <w:proofErr w:type="spellEnd"/>
      <w:r w:rsidRPr="00940487">
        <w:rPr>
          <w:rFonts w:ascii="Arial" w:hAnsi="Arial" w:cs="Arial"/>
          <w:b/>
          <w:color w:val="555555"/>
          <w:shd w:val="clear" w:color="auto" w:fill="FFFFFF"/>
        </w:rPr>
        <w:t xml:space="preserve"> </w:t>
      </w:r>
    </w:p>
    <w:p w14:paraId="7496FFBE" w14:textId="77777777" w:rsidR="002D4844" w:rsidRDefault="002D4844" w:rsidP="002D4844">
      <w:pPr>
        <w:spacing w:after="300" w:line="360" w:lineRule="atLeast"/>
        <w:rPr>
          <w:rFonts w:ascii="Arial" w:eastAsia="Times New Roman" w:hAnsi="Arial" w:cs="Arial"/>
          <w:b/>
          <w:color w:val="1F1F1F"/>
          <w:lang w:val="en" w:eastAsia="en-GB"/>
        </w:rPr>
      </w:pPr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Mae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ymatebion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i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ymgyngoriadau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debygol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o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gael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eu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cyhoeddi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. I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gadw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eich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ymateb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yn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ddienw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(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gan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gynnwys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cyfeiriadau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</w:t>
      </w:r>
      <w:proofErr w:type="spellStart"/>
      <w:proofErr w:type="gram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ebost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) 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ticiwch</w:t>
      </w:r>
      <w:proofErr w:type="spellEnd"/>
      <w:proofErr w:type="gram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 y </w:t>
      </w:r>
      <w:proofErr w:type="spellStart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>blwch</w:t>
      </w:r>
      <w:proofErr w:type="spellEnd"/>
      <w:r w:rsidRPr="00940487">
        <w:rPr>
          <w:rFonts w:ascii="Arial" w:eastAsia="Times New Roman" w:hAnsi="Arial" w:cs="Arial"/>
          <w:b/>
          <w:color w:val="1F1F1F"/>
          <w:lang w:val="en" w:eastAsia="en-GB"/>
        </w:rPr>
        <w:t xml:space="preserve">. </w:t>
      </w:r>
    </w:p>
    <w:p w14:paraId="5FDE2285" w14:textId="77777777" w:rsidR="002D4844" w:rsidRPr="000B5944" w:rsidRDefault="002D4844" w:rsidP="002D4844">
      <w:pPr>
        <w:spacing w:after="300" w:line="360" w:lineRule="atLeast"/>
        <w:rPr>
          <w:rFonts w:ascii="Arial" w:eastAsia="Times New Roman" w:hAnsi="Arial" w:cs="Arial"/>
          <w:b/>
          <w:color w:val="1F1F1F"/>
          <w:lang w:val="en" w:eastAsia="en-GB"/>
        </w:rPr>
      </w:pPr>
      <w:sdt>
        <w:sdtPr>
          <w:rPr>
            <w:rFonts w:ascii="Arial" w:eastAsia="Times New Roman" w:hAnsi="Arial" w:cs="Arial"/>
            <w:b/>
            <w:color w:val="1F1F1F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5944">
            <w:rPr>
              <w:rFonts w:ascii="Segoe UI Symbol" w:eastAsia="MS Gothic" w:hAnsi="Segoe UI Symbol" w:cs="Segoe UI Symbol"/>
              <w:b/>
              <w:color w:val="1F1F1F"/>
              <w:lang w:val="en" w:eastAsia="en-GB"/>
            </w:rPr>
            <w:t>☐</w:t>
          </w:r>
        </w:sdtContent>
      </w:sdt>
    </w:p>
    <w:p w14:paraId="7BFE3649" w14:textId="77777777" w:rsidR="002D4844" w:rsidRDefault="002D4844" w:rsidP="008B2802">
      <w:pPr>
        <w:pStyle w:val="Heading2"/>
        <w:rPr>
          <w:rFonts w:eastAsia="MS Mincho"/>
          <w:bCs/>
          <w:lang w:val="cy-GB"/>
        </w:rPr>
      </w:pPr>
    </w:p>
    <w:p w14:paraId="52C32306" w14:textId="77777777" w:rsidR="002D4844" w:rsidRDefault="002D4844" w:rsidP="008B2802">
      <w:pPr>
        <w:pStyle w:val="Heading2"/>
        <w:rPr>
          <w:rFonts w:eastAsia="MS Mincho"/>
          <w:bCs/>
          <w:lang w:val="cy-GB"/>
        </w:rPr>
      </w:pPr>
    </w:p>
    <w:p w14:paraId="21F5F3DD" w14:textId="77777777" w:rsidR="002D4844" w:rsidRDefault="002D4844" w:rsidP="008B2802">
      <w:pPr>
        <w:pStyle w:val="Heading2"/>
        <w:rPr>
          <w:rFonts w:eastAsia="MS Mincho"/>
          <w:bCs/>
          <w:lang w:val="cy-GB"/>
        </w:rPr>
      </w:pPr>
    </w:p>
    <w:p w14:paraId="520818E6" w14:textId="232372C0" w:rsidR="008B2802" w:rsidRDefault="008B2802" w:rsidP="008B2802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1</w:t>
      </w:r>
    </w:p>
    <w:p w14:paraId="1BB01263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  <w:lang w:val="cy-GB"/>
        </w:rPr>
        <w:t>A yw Rheoliad 3 o'r Rheoliadau drafft yn rhoi eglurder ynghylch pa drydydd partïon y mae'r rheoliadau'n gymwys iddynt? Os nad yw, sut y gellir ei wella?</w:t>
      </w:r>
    </w:p>
    <w:p w14:paraId="4CBE29D8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</w:p>
    <w:p w14:paraId="3658210E" w14:textId="77777777" w:rsidR="008B2802" w:rsidRDefault="008B2802" w:rsidP="008B2802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2</w:t>
      </w:r>
    </w:p>
    <w:p w14:paraId="6DF8EAE7" w14:textId="77777777" w:rsidR="008B2802" w:rsidRPr="002C7968" w:rsidRDefault="008B2802" w:rsidP="008B2802">
      <w:pPr>
        <w:rPr>
          <w:rFonts w:ascii="Arial" w:hAnsi="Arial" w:cs="Arial"/>
          <w:lang w:val="en-US"/>
        </w:rPr>
      </w:pPr>
      <w:r w:rsidRPr="002C7968">
        <w:rPr>
          <w:rFonts w:ascii="Arial" w:hAnsi="Arial" w:cs="Arial"/>
          <w:lang w:val="cy-GB"/>
        </w:rPr>
        <w:t>A yw Rheoliad 4 o'r Rheoliadau drafft yn rhoi eglurder ynghylch y ffordd y gellir cyflwyno hysbysiadau i drydydd partïon? Os nad yw, sut y gellir ei wella?</w:t>
      </w:r>
    </w:p>
    <w:p w14:paraId="01589170" w14:textId="77777777" w:rsidR="008B2802" w:rsidRPr="00F94E0C" w:rsidRDefault="008B2802" w:rsidP="008B2802">
      <w:pPr>
        <w:rPr>
          <w:lang w:val="en-US"/>
        </w:rPr>
      </w:pPr>
    </w:p>
    <w:p w14:paraId="3DD0305B" w14:textId="77777777" w:rsidR="008B2802" w:rsidRDefault="008B2802" w:rsidP="008B2802">
      <w:pPr>
        <w:pStyle w:val="Heading2"/>
        <w:rPr>
          <w:rFonts w:eastAsia="MS Mincho"/>
        </w:rPr>
      </w:pPr>
      <w:r w:rsidRPr="00EF522B">
        <w:rPr>
          <w:rFonts w:eastAsia="MS Mincho"/>
          <w:bCs/>
          <w:lang w:val="cy-GB"/>
        </w:rPr>
        <w:t>Cwestiwn 3</w:t>
      </w:r>
    </w:p>
    <w:p w14:paraId="76DBF583" w14:textId="77777777" w:rsidR="008B2802" w:rsidRPr="00EF522B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  <w:lang w:val="cy-GB"/>
        </w:rPr>
        <w:t>A oes unrhyw faterion yn codi o ran gweinyddu a gorfodi'r Rheoliadau drafft?</w:t>
      </w:r>
    </w:p>
    <w:p w14:paraId="6F66A1D1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</w:p>
    <w:p w14:paraId="4F5AB940" w14:textId="77777777" w:rsidR="008B2802" w:rsidRDefault="008B2802" w:rsidP="008B2802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4</w:t>
      </w:r>
    </w:p>
    <w:p w14:paraId="66819C7F" w14:textId="77777777" w:rsidR="008B2802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EF522B">
        <w:rPr>
          <w:rFonts w:ascii="Arial" w:eastAsia="MS Mincho" w:hAnsi="Arial" w:cs="Arial"/>
          <w:bCs/>
          <w:iCs/>
          <w:color w:val="000000"/>
          <w:lang w:val="cy-GB"/>
        </w:rPr>
        <w:t>A oes gennych unrhyw sylwadau eraill am y Rheoliadau drafft?</w:t>
      </w:r>
    </w:p>
    <w:p w14:paraId="155DA295" w14:textId="77777777" w:rsidR="008B2802" w:rsidRPr="00EF522B" w:rsidRDefault="008B2802" w:rsidP="008B2802">
      <w:pPr>
        <w:rPr>
          <w:rFonts w:ascii="Arial" w:eastAsia="MS Mincho" w:hAnsi="Arial" w:cs="Arial"/>
          <w:bCs/>
          <w:iCs/>
          <w:color w:val="000000"/>
        </w:rPr>
      </w:pPr>
    </w:p>
    <w:p w14:paraId="4432FDED" w14:textId="77777777" w:rsidR="008B2802" w:rsidRPr="00966EBA" w:rsidRDefault="008B2802" w:rsidP="008B2802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  <w:bCs/>
          <w:lang w:val="cy-GB"/>
        </w:rPr>
        <w:t>Cwestiwn 5</w:t>
      </w:r>
    </w:p>
    <w:p w14:paraId="73445818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Hoffai Llywodraeth Cymru wybod eich barn am yr effeithiau y byddai'r cynigion hyn yn eu cael ar y Gymraeg, ac ar y canlynol yn benodol:   </w:t>
      </w:r>
    </w:p>
    <w:p w14:paraId="1FF4793F" w14:textId="77777777" w:rsidR="008B2802" w:rsidRPr="00966EBA" w:rsidRDefault="008B2802" w:rsidP="008B2802">
      <w:pPr>
        <w:widowControl w:val="0"/>
        <w:numPr>
          <w:ilvl w:val="0"/>
          <w:numId w:val="1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>ar gyfleoedd i bobl ddefnyddio'r Gymraeg; ac</w:t>
      </w:r>
    </w:p>
    <w:p w14:paraId="00DC285A" w14:textId="77777777" w:rsidR="008B2802" w:rsidRPr="00966EBA" w:rsidRDefault="008B2802" w:rsidP="008B2802">
      <w:pPr>
        <w:widowControl w:val="0"/>
        <w:numPr>
          <w:ilvl w:val="0"/>
          <w:numId w:val="1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ar beidio â thrin y Gymraeg yn llai ffafriol na'r Saesneg. </w:t>
      </w:r>
    </w:p>
    <w:p w14:paraId="1904BC98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>Beth fyddai’r effeithiau yn eich barn chi?  Sut y byddai modd cynyddu’r effeithiau cadarnhaol, neu liniaru’r effeithiau negyddol?</w:t>
      </w:r>
    </w:p>
    <w:p w14:paraId="65C3DA06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 </w:t>
      </w:r>
    </w:p>
    <w:p w14:paraId="25901679" w14:textId="77777777" w:rsidR="008B2802" w:rsidRPr="00966EBA" w:rsidRDefault="008B2802" w:rsidP="008B2802">
      <w:pPr>
        <w:pStyle w:val="Heading2"/>
        <w:spacing w:line="240" w:lineRule="auto"/>
        <w:rPr>
          <w:rFonts w:eastAsia="MS Mincho"/>
        </w:rPr>
      </w:pPr>
      <w:r>
        <w:rPr>
          <w:rFonts w:eastAsia="MS Mincho"/>
          <w:bCs/>
          <w:lang w:val="cy-GB"/>
        </w:rPr>
        <w:t>Cwestiwn 6</w:t>
      </w:r>
    </w:p>
    <w:p w14:paraId="23BAEC89" w14:textId="77777777" w:rsidR="008B2802" w:rsidRPr="00966EBA" w:rsidRDefault="008B2802" w:rsidP="008B2802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Eglurwch hefyd sut y gellid llunio neu newid y Rheoliadau drafft er mwyn: </w:t>
      </w:r>
    </w:p>
    <w:p w14:paraId="55110FAC" w14:textId="77777777" w:rsidR="008B2802" w:rsidRPr="00966EBA" w:rsidRDefault="008B2802" w:rsidP="008B2802">
      <w:pPr>
        <w:widowControl w:val="0"/>
        <w:numPr>
          <w:ilvl w:val="0"/>
          <w:numId w:val="2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cael effaith gadarnhaol neu gynyddu’r effaith gadarnhaol ar gyfleoedd i bobl ddefnyddio’r Gymraeg ac ar beidio â thrin y Gymraeg yn llai ffafriol na’r Saesneg; a </w:t>
      </w:r>
    </w:p>
    <w:p w14:paraId="0A931367" w14:textId="77777777" w:rsidR="008B2802" w:rsidRPr="00B3347B" w:rsidRDefault="008B2802" w:rsidP="008B2802">
      <w:pPr>
        <w:widowControl w:val="0"/>
        <w:numPr>
          <w:ilvl w:val="0"/>
          <w:numId w:val="2"/>
        </w:numPr>
        <w:ind w:left="425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MS Mincho" w:hAnsi="Arial" w:cs="Arial"/>
          <w:lang w:val="cy-GB"/>
        </w:rPr>
        <w:t>osgoi unrhyw effaith niweidiol ar gyfleoedd i bobl ddefnyddio’r Gymraeg ac ar beidio â thrin y Gymraeg yn llai ffafriol na’r Saesneg.</w:t>
      </w:r>
    </w:p>
    <w:p w14:paraId="475C08B2" w14:textId="77777777" w:rsidR="008B2802" w:rsidRPr="00B3347B" w:rsidRDefault="008B2802" w:rsidP="008B2802">
      <w:pPr>
        <w:widowControl w:val="0"/>
        <w:ind w:left="1134"/>
        <w:rPr>
          <w:rFonts w:ascii="Arial" w:eastAsia="Times New Roman" w:hAnsi="Arial" w:cs="Arial"/>
          <w:lang w:val="en-US"/>
        </w:rPr>
      </w:pPr>
    </w:p>
    <w:p w14:paraId="30C669EF" w14:textId="77777777" w:rsidR="008B2802" w:rsidRPr="00966EBA" w:rsidRDefault="008B2802" w:rsidP="008B2802">
      <w:pPr>
        <w:pStyle w:val="Heading2"/>
        <w:spacing w:line="240" w:lineRule="auto"/>
        <w:rPr>
          <w:rFonts w:eastAsia="MS Mincho"/>
        </w:rPr>
      </w:pPr>
      <w:r w:rsidRPr="00966EBA">
        <w:rPr>
          <w:rFonts w:eastAsia="MS Mincho"/>
          <w:bCs/>
          <w:lang w:val="cy-GB"/>
        </w:rPr>
        <w:lastRenderedPageBreak/>
        <w:t>Cwestiwn 7</w:t>
      </w:r>
    </w:p>
    <w:p w14:paraId="46DAC46D" w14:textId="77777777" w:rsidR="008B2802" w:rsidRPr="00966EBA" w:rsidRDefault="008B2802" w:rsidP="008B2802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  <w:lang w:val="cy-GB"/>
        </w:rPr>
        <w:t>Rydym wedi gofyn nifer o gwestiynau penodol. Os oes gennych unrhyw pwyntiau cysylltiedig nad ydym wedi mynd i’r afael â hwy yn benodol, defnyddiwch y lle hwn i'w cofnodi.</w:t>
      </w:r>
    </w:p>
    <w:p w14:paraId="0CF1EFB6" w14:textId="77777777" w:rsidR="00AB10B4" w:rsidRPr="00404DAC" w:rsidRDefault="002D4844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2C3"/>
    <w:multiLevelType w:val="hybridMultilevel"/>
    <w:tmpl w:val="40A0AFB4"/>
    <w:lvl w:ilvl="0" w:tplc="56FA2266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26A4CD88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6EDA2A2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C0C60F28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D7BA8CFC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3B6AE84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AFBA0D64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8CA54EA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299E1B30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D3725828"/>
    <w:lvl w:ilvl="0" w:tplc="E59ACDBC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60B6905C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C6DEEFCA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C32274D4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6B2C1002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9B904D1E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C5A6162C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D83AA65E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F580B74E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 w16cid:durableId="1370302341">
    <w:abstractNumId w:val="0"/>
  </w:num>
  <w:num w:numId="2" w16cid:durableId="1561746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02"/>
    <w:rsid w:val="002D4844"/>
    <w:rsid w:val="002F1F32"/>
    <w:rsid w:val="00404DAC"/>
    <w:rsid w:val="008B2802"/>
    <w:rsid w:val="009C56C7"/>
    <w:rsid w:val="00AE479D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5176"/>
  <w15:chartTrackingRefBased/>
  <w15:docId w15:val="{B54F64C3-940A-4D0E-A35A-BA3CEAA6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0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B2802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2802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B2802"/>
    <w:pPr>
      <w:ind w:left="720"/>
      <w:contextualSpacing/>
    </w:pPr>
  </w:style>
  <w:style w:type="paragraph" w:styleId="NoSpacing">
    <w:name w:val="No Spacing"/>
    <w:uiPriority w:val="1"/>
    <w:qFormat/>
    <w:rsid w:val="002D484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A41108448</value>
    </field>
    <field name="Objective-Title">
      <value order="0">LGFR - MA-RE-0395-22 - Non-Domestic Rates Fraud and Avoidance - Third Party Information - Technical Consultation - Questions (CYM)</value>
    </field>
    <field name="Objective-Description">
      <value order="0"/>
    </field>
    <field name="Objective-CreationStamp">
      <value order="0">2022-06-22T15:08:50Z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2022-06-22T15:09:40Z</value>
    </field>
    <field name="Objective-Owner">
      <value order="0">Khan, Rabia (EPS - LG - FR)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</value>
    </field>
    <field name="Objective-Parent">
      <value order="0">LGFR - MA-RE-0395-22 - Non-Domestic Rates Fraud and Avoidance - Third Party Information - Technical Consultation</value>
    </field>
    <field name="Objective-State">
      <value order="0">Being Drafted</value>
    </field>
    <field name="Objective-VersionId">
      <value order="0">vA78828896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4</DocSecurity>
  <Lines>11</Lines>
  <Paragraphs>3</Paragraphs>
  <ScaleCrop>false</ScaleCrop>
  <Company>Welsh Government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Rabia (EPS - LG - FR)</dc:creator>
  <cp:keywords/>
  <dc:description/>
  <cp:lastModifiedBy>Fulker, Louise (EPS - LG - CHR Communications)</cp:lastModifiedBy>
  <cp:revision>2</cp:revision>
  <dcterms:created xsi:type="dcterms:W3CDTF">2022-06-23T12:47:00Z</dcterms:created>
  <dcterms:modified xsi:type="dcterms:W3CDTF">2022-06-23T12:47:00Z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A41108448</vt:lpwstr>
  </property>
  <property fmtid="{D5CDD505-2E9C-101B-9397-08002B2CF9AE}" pid="4" name="Objective-Title">
    <vt:lpwstr>LGFR - MA-RE-0395-22 - Non-Domestic Rates Fraud and Avoidance - Third Party Information - Technical Consultation - Questions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2022-06-22T15:09:11Z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2022-06-22T15:09:40Z</vt:filetime>
  </property>
  <property fmtid="{D5CDD505-2E9C-101B-9397-08002B2CF9AE}" pid="11" name="Objective-Owner">
    <vt:lpwstr>Khan, Rabia (EPS - LG - FR)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MA-RE-0395-22 - Non-Domestic Rates Fraud and Avoidance - Third Party Information - Technical Consultation:</vt:lpwstr>
  </property>
  <property fmtid="{D5CDD505-2E9C-101B-9397-08002B2CF9AE}" pid="13" name="Objective-Parent">
    <vt:lpwstr>LGFR - MA-RE-0395-22 - Non-Domestic Rates Fraud and Avoidance - Third Party Information - Technical Consultation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vA78828896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2022-06-21T23:00:00Z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